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Ревматология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05:43 МСК · База обновлена: 22.07.2026, 18:16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Ревматология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29 лет обратилась к врачу-ревматологу.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боли в мелких суставах кистей, которые в большей степени беспокоят по утрам и во вторую половину ночи, отечность в указанных суставах, утреннюю скованность в мелких суставах кистей около часа.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Указанные жалобы – около 2 лет, впервые возникли после родов. Грудное вскармливание окончено. Ранее обращалась к терапевту, но из-за грудного вскармливания терапия не проводилась, и было принято решение дообследование и старт терапии отложить.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отрицает;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имела;</w:t>
      </w:r>
    </w:p>
    <w:p>
      <w:pPr>
        <w:spacing w:after="58"/>
      </w:pPr>
      <w:r>
        <w:rPr>
          <w:b w:val="0"/>
          <w:i w:val="0"/>
        </w:rPr>
        <w:t>* аллергических реакций не было;</w:t>
      </w:r>
    </w:p>
    <w:p>
      <w:pPr>
        <w:spacing w:after="58"/>
      </w:pPr>
      <w:r>
        <w:rPr>
          <w:b w:val="0"/>
          <w:i w:val="0"/>
        </w:rPr>
        <w:t>* отец – атеросклероз, мать - здорова.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168 см, масса тела 57 кг. ИМТ 20,2. Кожные покровы обычной окраски и влажности. Периферических отеков нет. Дыхание везикулярное, ЧДД 16 в 1 мин. Тоны сердца ритмичные, ЧСС 78 в 1 мин, АД 110/70 мм рт. ст. Живот мягкий, безболезненный. Печень по краю реберной дуги.</w:t>
      </w:r>
    </w:p>
    <w:p>
      <w:pPr>
        <w:spacing w:after="58"/>
      </w:pPr>
      <w:r>
        <w:rPr>
          <w:b w:val="0"/>
          <w:i w:val="0"/>
        </w:rPr>
        <w:t>При пальпации суставов определяется болезненность и припухлость в области проксимальных межфаланговых, пястнофаланговых, лучезапястных суставов, всего 10 болезненных суставов, 9 припухших. Симптом поперечного сжатия кистей положительный. Оценка активности заболевания по ВАШ – 60 мм.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в данной ситуации лабораторным методам исследования для установления диагноза и определения его стадии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уровня антистрептолизина-О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С-реактивного белка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ревматоидного фактора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антител к циклическому цитруллинированному полипептиду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определение уровня мочевой кислоты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клинический анализ крови; 3 — определение уровня С-реактивного белка; 4 — определение уровня ревматоидного фактора; 5 — определение уровня антител к циклическому цитруллинированному полипептиду</w:t>
      </w:r>
    </w:p>
    <w:p>
      <w:pPr>
        <w:ind w:left="504"/>
      </w:pPr>
      <w:r>
        <w:rPr>
          <w:b w:val="0"/>
          <w:i/>
        </w:rPr>
        <w:t>Общий (клинический) анализ крови развернутый и исследование уровня СРБ в сыворотке крови количественным методом рекомендуется всем пациентам с целью проведения дифференциальной диагностики с невоспалительными заболеваниями суставов и оценки активности воспаления.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Исследование уровня С-реактивного белка проводится всем пациентам с подозрением на ревматоидный артрит. Повышение уровня С-реактивного белка является одним из классификационных критериев ревматоидного артрита ACR/EULAR 2010 года.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Определение содержания антител к циклическому цитруллиновому пептиду (анти-ССР) в крови (АЦЦП), определение содержания РФ в крови рекомендуется всем пациентам с целью диагностики заболевания.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Определение содержания антител к циклическому цитруллиновому пептиду (анти-ССР) в крови (АЦЦП), определение содержания РФ в крови рекомендуется всем пациентам с целью диагностики заболевания.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необходимым исследованиям для определения отсутствия противопоказаний к началу терапии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магнитно-резонансная томография крестцово-подвздошных сочленений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уровня общего холестерина и его фракций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исследование уровня гликемии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обследование на гепатиты В, С, сифилис, ВИЧ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рентгенография органов грудной клетки; 5 — биохимический анализ крови; 6 — обследование на гепатиты В, С, сифилис, ВИЧ</w:t>
      </w:r>
    </w:p>
    <w:p>
      <w:pPr>
        <w:ind w:left="504"/>
      </w:pPr>
      <w:r>
        <w:rPr>
          <w:b w:val="0"/>
          <w:i/>
        </w:rPr>
        <w:t>Прицельную рентгенографию органов грудной клетки рекомендуется проводить всем пациентам с ревматоидным артритом с целью выявления ревматоидного поражения органов дыхания и сопутствующих заболеваний лёгких при первичном обследовании и затем ежегодно (более частое проведение возможно при наличии клинических показаний).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выявления противопоказаний, потенциальных факторов риска развития нежелательных лекарственных реакций перед назначением противоревматической терапии всем пациентам с ревматоидным артритом рекомендуется проводить анализ крови биохимический общетерапевтический.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Наличие активного инфекционного процесса является противопоказанием к началу терапии ревматоидного артрита основными болезнь-модифицирующими препаратами.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Количество баллов, согласно классификационным критериям ревматоидного артрита ACR/EULAR 2010 года, в данном случае равно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8</w:t>
      </w:r>
    </w:p>
    <w:p>
      <w:pPr>
        <w:ind w:left="504"/>
      </w:pPr>
      <w:r>
        <w:rPr>
          <w:b w:val="0"/>
          <w:i/>
        </w:rPr>
        <w:t>Классификационные критерии ревматоидного артрита ACR/EULAR 2010 года являются количественными, где за каждый определенный признак дается то или иное количество баллов.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 данным клинико-лабораторных проявлений заболевания, диагноз можно сформулировать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Болезнь Форестье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Системный остеопороз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Системная склеродермия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Серопозитивный ревматоидный артрит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Серопозитивный ревматоидный артрит</w:t>
      </w:r>
    </w:p>
    <w:p>
      <w:pPr>
        <w:ind w:left="504"/>
      </w:pPr>
      <w:r>
        <w:rPr>
          <w:b w:val="0"/>
          <w:i/>
        </w:rPr>
        <w:t>Характерными признаками ревматоидного артрита являются: увеличение уровня СОЭ, С-реактивного белка, ревматоидного фактора, антител к циклическому цитруллинированному полипептиду, характерной рентгенологической картиной (околосуставной остеопороз, множественные кистовидные просветления костной ткани, сужение суставных щелей, единичные эрозии). Диагноз выставлен на основании классификационных критериев ревматоидного артрита ACR/EULAR 2010 года.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Активность заболевания соответствует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высокой активности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низкой активности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умеренной активности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ремиссии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высокой активности</w:t>
      </w:r>
    </w:p>
    <w:p>
      <w:pPr>
        <w:ind w:left="504"/>
      </w:pPr>
      <w:r>
        <w:rPr>
          <w:b w:val="0"/>
          <w:i/>
        </w:rPr>
        <w:t>Для оценки активности заболевания используется калькулятор DAS28. DAS28 – 6,41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Терапию заболевания следует начинать с основного болезнь-модифицирующего препарата, которым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преднизолон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ритуксимаб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метотрексат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нимесулид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метотрексат</w:t>
      </w:r>
    </w:p>
    <w:p>
      <w:pPr>
        <w:ind w:left="504"/>
      </w:pPr>
      <w:r>
        <w:rPr>
          <w:b w:val="0"/>
          <w:i/>
        </w:rPr>
        <w:t>Метотрексат рекомендуется всем пациентам с диагнозом РА, как препарат «первой линии» терапии.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 учетом высокой активности заболевания возможно проведение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бридж-терапии глюкокортикостероидами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санаторно-курортного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комбинированной терапии метотрексатом и лефлуномидом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терапии ритуксимабом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бридж-терапии глюкокортикостероидами</w:t>
      </w:r>
    </w:p>
    <w:p>
      <w:pPr>
        <w:ind w:left="504"/>
      </w:pPr>
      <w:r>
        <w:rPr>
          <w:b w:val="0"/>
          <w:i/>
        </w:rPr>
        <w:t>Рекомендуется проводить лечение глюкокортикоидами в комбинации с метотрексатом (или другими БПВП) при раннем ревматоидном артрите у пациентов с высокой активностью заболевания в течение времени, необходимого для развития эффекта БПВП (bridge-терапия).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Выявленные изменения расценены как побочный эффект от приема метотрексата, называемое в виде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лейкоцитоза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тромбоцитопении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лейкопении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тромбоцитопении</w:t>
      </w:r>
    </w:p>
    <w:p>
      <w:pPr>
        <w:ind w:left="504"/>
      </w:pPr>
      <w:r>
        <w:rPr>
          <w:b w:val="0"/>
          <w:i/>
        </w:rPr>
        <w:t>Применение метотрексата может привести к развитию гематологических нарушений, к которым относится тромбоцитопения.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Пациентке проведена смена терапии с метотрексата на лефлуномид. Доза препарата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 мг/сутки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20 мг/неделю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 мг/сутки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100 мг/сутки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20 мг/сутки</w:t>
      </w:r>
    </w:p>
    <w:p>
      <w:pPr>
        <w:ind w:left="504"/>
      </w:pPr>
      <w:r>
        <w:rPr>
          <w:b w:val="0"/>
          <w:i/>
        </w:rPr>
        <w:t>Доза лефлуномида составляет 20 мг/сутки.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Таким образом, активность заболевания расценена как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ремиссия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низкая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высокая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умеренная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ремиссия</w:t>
      </w:r>
    </w:p>
    <w:p>
      <w:pPr>
        <w:ind w:left="504"/>
      </w:pPr>
      <w:r>
        <w:rPr>
          <w:b w:val="0"/>
          <w:i/>
        </w:rPr>
        <w:t>Для оценки активности заболевания используется калькулятор DAS28. DAS28 – 1,39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После достижения ремиссии пациентке рекомендован осмотр ревматолога с периодичностью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раз в год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 в 6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раз в 3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раз в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 раз в 6 месяцев</w:t>
      </w:r>
    </w:p>
    <w:p>
      <w:pPr>
        <w:ind w:left="504"/>
      </w:pPr>
      <w:r>
        <w:rPr>
          <w:b w:val="0"/>
          <w:i/>
        </w:rPr>
        <w:t>После достижения ремиссии пациентам с ревматоидным артритом рекомендуется осмотр раз в 6 месяцев.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Через год пациентка обратилась на повторную консультацию перед планированием беременности. Активность заболевания соответствует ремиссии. Для усиления выведения лефлуномида проводят процедуру отмывания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мельдонием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холестирамином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цитофлавином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активированным углем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холестирамином</w:t>
      </w:r>
    </w:p>
    <w:p>
      <w:pPr>
        <w:ind w:left="504"/>
      </w:pPr>
      <w:r>
        <w:rPr>
          <w:b w:val="0"/>
          <w:i/>
        </w:rPr>
        <w:t>Рекомендуется отменить лефлуномид при планировании беременности. Учитывая длительную (до 2 лет) циркуляцию активных метаболитов лефлуномида, для усиления его выведения проводят процедуру отмывания холестирамином с последующим назначением альтернативного лекарственного средства, совместимого с беременностью.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Ревматология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250_3/" TargetMode="External"/><Relationship Id="rId24" Type="http://schemas.openxmlformats.org/officeDocument/2006/relationships/hyperlink" Target="https://library.mededtech.ru/rest/documents/250_3/#list_item_a7btfb" TargetMode="External"/><Relationship Id="rId25" Type="http://schemas.openxmlformats.org/officeDocument/2006/relationships/hyperlink" Target="https://library.mededtech.ru/rest/documents/250_3/#list_item_f8jnj6" TargetMode="External"/><Relationship Id="rId26" Type="http://schemas.openxmlformats.org/officeDocument/2006/relationships/image" Target="media/image8.png"/><Relationship Id="rId27" Type="http://schemas.openxmlformats.org/officeDocument/2006/relationships/hyperlink" Target="https://library.mededtech.ru/rest/documents/250_3/#list_item_4eruls" TargetMode="External"/><Relationship Id="rId28" Type="http://schemas.openxmlformats.org/officeDocument/2006/relationships/hyperlink" Target="https://library.mededtech.ru/rest/documents/250_3/#list_item_i32qqb" TargetMode="External"/><Relationship Id="rId29" Type="http://schemas.openxmlformats.org/officeDocument/2006/relationships/hyperlink" Target="https://library.mededtech.ru/rest/documents/250_3/#list_item_437t64" TargetMode="External"/><Relationship Id="rId30" Type="http://schemas.openxmlformats.org/officeDocument/2006/relationships/hyperlink" Target="https://library.mededtech.ru/rest/documents/250_3/#prilg1" TargetMode="External"/><Relationship Id="rId31" Type="http://schemas.openxmlformats.org/officeDocument/2006/relationships/hyperlink" Target="https://library.mededtech.ru/rest/documents/250_3/#paragraph_8p05n1" TargetMode="External"/><Relationship Id="rId32" Type="http://schemas.openxmlformats.org/officeDocument/2006/relationships/hyperlink" Target="https://library.mededtech.ru/rest/documents/250_3/#list_item_f3ju4r" TargetMode="External"/><Relationship Id="rId33" Type="http://schemas.openxmlformats.org/officeDocument/2006/relationships/hyperlink" Target="https://library.mededtech.ru/rest/documents/250_3/#list_item_b3c2ho" TargetMode="External"/><Relationship Id="rId34" Type="http://schemas.openxmlformats.org/officeDocument/2006/relationships/hyperlink" Target="https://library.mededtech.ru/rest/documents/250_3/#table_mp16kf" TargetMode="External"/><Relationship Id="rId35" Type="http://schemas.openxmlformats.org/officeDocument/2006/relationships/hyperlink" Target="https://library.mededtech.ru/rest/documents/250_3/#list_item_6fe1ma" TargetMode="External"/><Relationship Id="rId36" Type="http://schemas.openxmlformats.org/officeDocument/2006/relationships/hyperlink" Target="https://library.mededtech.ru/rest/documents/250_3/#list_item_9cfmsb" TargetMode="External"/><Relationship Id="rId37" Type="http://schemas.openxmlformats.org/officeDocument/2006/relationships/image" Target="media/image9.png"/><Relationship Id="rId38" Type="http://schemas.openxmlformats.org/officeDocument/2006/relationships/hyperlink" Target="https://library.mededtech.ru/rest/documents/250_3/#list_item_3i7obu" TargetMode="External"/><Relationship Id="rId39" Type="http://schemas.openxmlformats.org/officeDocument/2006/relationships/hyperlink" Target="https://library.mededtech.ru/rest/documents/250_3/#table_eg6ii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